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4C" w:rsidRP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F8714C" w:rsidRP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F8714C" w:rsidRP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F8714C" w:rsidRP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F8714C" w:rsidRPr="00F8714C" w:rsidRDefault="00E26583" w:rsidP="00F8714C">
      <w:pPr>
        <w:pStyle w:val="a7"/>
        <w:ind w:left="1134" w:right="1136"/>
        <w:jc w:val="right"/>
        <w:rPr>
          <w:rFonts w:ascii="Times New Roman" w:hAnsi="Times New Roman" w:cs="Times New Roman"/>
          <w:sz w:val="20"/>
          <w:szCs w:val="20"/>
        </w:rPr>
      </w:pPr>
      <w:r w:rsidRPr="00F8714C">
        <w:rPr>
          <w:rFonts w:ascii="Times New Roman" w:hAnsi="Times New Roman" w:cs="Times New Roman"/>
          <w:sz w:val="20"/>
          <w:szCs w:val="20"/>
        </w:rPr>
        <w:t xml:space="preserve">ПРИЛОЖЕНИЕ 2 к распоряжению </w:t>
      </w:r>
    </w:p>
    <w:p w:rsidR="00F8714C" w:rsidRPr="00F8714C" w:rsidRDefault="00E26583" w:rsidP="00F8714C">
      <w:pPr>
        <w:pStyle w:val="a7"/>
        <w:ind w:left="1134" w:right="1136"/>
        <w:jc w:val="right"/>
        <w:rPr>
          <w:rFonts w:ascii="Times New Roman" w:hAnsi="Times New Roman" w:cs="Times New Roman"/>
          <w:sz w:val="20"/>
          <w:szCs w:val="20"/>
        </w:rPr>
      </w:pPr>
      <w:r w:rsidRPr="00F8714C">
        <w:rPr>
          <w:rFonts w:ascii="Times New Roman" w:hAnsi="Times New Roman" w:cs="Times New Roman"/>
          <w:sz w:val="20"/>
          <w:szCs w:val="20"/>
        </w:rPr>
        <w:t>Администрации Кожевниковского сельского поселения</w:t>
      </w:r>
    </w:p>
    <w:p w:rsidR="00145212" w:rsidRPr="00F8714C" w:rsidRDefault="00E26583" w:rsidP="00F8714C">
      <w:pPr>
        <w:pStyle w:val="a7"/>
        <w:ind w:left="1134" w:right="1136"/>
        <w:jc w:val="right"/>
        <w:rPr>
          <w:rFonts w:ascii="Times New Roman" w:hAnsi="Times New Roman" w:cs="Times New Roman"/>
          <w:sz w:val="20"/>
          <w:szCs w:val="20"/>
        </w:rPr>
      </w:pPr>
      <w:r w:rsidRPr="00F8714C">
        <w:rPr>
          <w:rFonts w:ascii="Times New Roman" w:hAnsi="Times New Roman" w:cs="Times New Roman"/>
          <w:sz w:val="20"/>
          <w:szCs w:val="20"/>
        </w:rPr>
        <w:t xml:space="preserve">№ </w:t>
      </w:r>
      <w:r w:rsidR="00F8714C" w:rsidRPr="00F8714C">
        <w:rPr>
          <w:rFonts w:ascii="Times New Roman" w:hAnsi="Times New Roman" w:cs="Times New Roman"/>
          <w:sz w:val="20"/>
          <w:szCs w:val="20"/>
        </w:rPr>
        <w:t xml:space="preserve">70 </w:t>
      </w:r>
      <w:r w:rsidRPr="00F8714C">
        <w:rPr>
          <w:rFonts w:ascii="Times New Roman" w:hAnsi="Times New Roman" w:cs="Times New Roman"/>
          <w:sz w:val="20"/>
          <w:szCs w:val="20"/>
        </w:rPr>
        <w:t xml:space="preserve"> от</w:t>
      </w:r>
      <w:r w:rsidR="00F8714C" w:rsidRPr="00F8714C">
        <w:rPr>
          <w:rFonts w:ascii="Times New Roman" w:hAnsi="Times New Roman" w:cs="Times New Roman"/>
          <w:sz w:val="20"/>
          <w:szCs w:val="20"/>
        </w:rPr>
        <w:t xml:space="preserve"> 15.11.2022</w:t>
      </w:r>
      <w:r w:rsidRPr="00F8714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8714C" w:rsidRDefault="00F8714C" w:rsidP="00F8714C">
      <w:pPr>
        <w:pStyle w:val="a7"/>
        <w:ind w:left="1134" w:right="1136"/>
        <w:jc w:val="right"/>
        <w:rPr>
          <w:rFonts w:ascii="Times New Roman" w:hAnsi="Times New Roman" w:cs="Times New Roman"/>
        </w:rPr>
      </w:pPr>
    </w:p>
    <w:p w:rsidR="00F8714C" w:rsidRDefault="00F8714C" w:rsidP="00F8714C">
      <w:pPr>
        <w:pStyle w:val="a7"/>
        <w:ind w:left="1134" w:right="1136"/>
        <w:jc w:val="right"/>
        <w:rPr>
          <w:rFonts w:ascii="Times New Roman" w:hAnsi="Times New Roman" w:cs="Times New Roman"/>
        </w:rPr>
      </w:pPr>
    </w:p>
    <w:p w:rsidR="00F8714C" w:rsidRPr="00F8714C" w:rsidRDefault="00F8714C" w:rsidP="00F8714C">
      <w:pPr>
        <w:pStyle w:val="a7"/>
        <w:ind w:left="1134" w:right="1136"/>
        <w:jc w:val="right"/>
        <w:rPr>
          <w:rFonts w:ascii="Times New Roman" w:hAnsi="Times New Roman" w:cs="Times New Roman"/>
        </w:rPr>
      </w:pPr>
    </w:p>
    <w:p w:rsidR="00145212" w:rsidRDefault="00E26583" w:rsidP="00F8714C">
      <w:pPr>
        <w:pStyle w:val="a7"/>
        <w:ind w:left="1134" w:right="1136"/>
        <w:jc w:val="center"/>
        <w:rPr>
          <w:rFonts w:ascii="Times New Roman" w:hAnsi="Times New Roman" w:cs="Times New Roman"/>
        </w:rPr>
      </w:pPr>
      <w:bookmarkStart w:id="0" w:name="bookmark0"/>
      <w:r w:rsidRPr="00F8714C">
        <w:rPr>
          <w:rFonts w:ascii="Times New Roman" w:hAnsi="Times New Roman" w:cs="Times New Roman"/>
        </w:rPr>
        <w:t>Пояснительная записка</w:t>
      </w:r>
      <w:bookmarkEnd w:id="0"/>
    </w:p>
    <w:p w:rsidR="00145212" w:rsidRDefault="00E26583" w:rsidP="00F8714C">
      <w:pPr>
        <w:pStyle w:val="a7"/>
        <w:ind w:left="1134" w:right="1136"/>
        <w:jc w:val="center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к прогнозу социально-экономического развития муниципального образования Кожевник</w:t>
      </w:r>
      <w:r w:rsidR="00F8714C" w:rsidRPr="00F8714C">
        <w:rPr>
          <w:rFonts w:ascii="Times New Roman" w:hAnsi="Times New Roman" w:cs="Times New Roman"/>
        </w:rPr>
        <w:t>овское сельское поселение на 2023-2025</w:t>
      </w:r>
      <w:r w:rsidRPr="00F8714C">
        <w:rPr>
          <w:rFonts w:ascii="Times New Roman" w:hAnsi="Times New Roman" w:cs="Times New Roman"/>
        </w:rPr>
        <w:t xml:space="preserve"> годы</w:t>
      </w:r>
    </w:p>
    <w:p w:rsid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F8714C" w:rsidRP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 xml:space="preserve">Прогноз </w:t>
      </w:r>
      <w:r w:rsidRPr="00F8714C">
        <w:rPr>
          <w:rFonts w:ascii="Times New Roman" w:hAnsi="Times New Roman" w:cs="Times New Roman"/>
        </w:rPr>
        <w:t>социально-экономического развития муниципального образования Кожевник</w:t>
      </w:r>
      <w:r w:rsidR="00F8714C" w:rsidRPr="00F8714C">
        <w:rPr>
          <w:rFonts w:ascii="Times New Roman" w:hAnsi="Times New Roman" w:cs="Times New Roman"/>
        </w:rPr>
        <w:t>овское сельское поселение на 2023-2025</w:t>
      </w:r>
      <w:r w:rsidRPr="00F8714C">
        <w:rPr>
          <w:rFonts w:ascii="Times New Roman" w:hAnsi="Times New Roman" w:cs="Times New Roman"/>
        </w:rPr>
        <w:t xml:space="preserve"> годы (далее - прогноз) разработан в соответствии со статьей 173 Бюджетного кодекса Российской Федерации</w:t>
      </w:r>
      <w:r w:rsidR="00F8714C" w:rsidRPr="00F8714C">
        <w:rPr>
          <w:rFonts w:ascii="Times New Roman" w:hAnsi="Times New Roman" w:cs="Times New Roman"/>
        </w:rPr>
        <w:t xml:space="preserve"> от 31.07.1998 N 145-ФЗ (ред. от 04.11.2022)</w:t>
      </w:r>
      <w:r w:rsidRPr="00F8714C">
        <w:rPr>
          <w:rFonts w:ascii="Times New Roman" w:hAnsi="Times New Roman" w:cs="Times New Roman"/>
        </w:rPr>
        <w:t>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Прогноз основывается на итогах социально-эк</w:t>
      </w:r>
      <w:r w:rsidRPr="00F8714C">
        <w:rPr>
          <w:rFonts w:ascii="Times New Roman" w:hAnsi="Times New Roman" w:cs="Times New Roman"/>
        </w:rPr>
        <w:t>ономического развития муниципального образования Кожевниковское сельское поселение за 201</w:t>
      </w:r>
      <w:r w:rsidR="00F8714C" w:rsidRPr="00F8714C">
        <w:rPr>
          <w:rFonts w:ascii="Times New Roman" w:hAnsi="Times New Roman" w:cs="Times New Roman"/>
        </w:rPr>
        <w:t>9 - 2021</w:t>
      </w:r>
      <w:r w:rsidRPr="00F8714C">
        <w:rPr>
          <w:rFonts w:ascii="Times New Roman" w:hAnsi="Times New Roman" w:cs="Times New Roman"/>
        </w:rPr>
        <w:t xml:space="preserve"> го</w:t>
      </w:r>
      <w:r w:rsidR="00F8714C" w:rsidRPr="00F8714C">
        <w:rPr>
          <w:rFonts w:ascii="Times New Roman" w:hAnsi="Times New Roman" w:cs="Times New Roman"/>
        </w:rPr>
        <w:t>ды и ожидаемых результатах в 2022</w:t>
      </w:r>
      <w:r w:rsidRPr="00F8714C">
        <w:rPr>
          <w:rFonts w:ascii="Times New Roman" w:hAnsi="Times New Roman" w:cs="Times New Roman"/>
        </w:rPr>
        <w:t xml:space="preserve"> году; сценарных условиях социально-экономического раз</w:t>
      </w:r>
      <w:r w:rsidR="00F8714C" w:rsidRPr="00F8714C">
        <w:rPr>
          <w:rFonts w:ascii="Times New Roman" w:hAnsi="Times New Roman" w:cs="Times New Roman"/>
        </w:rPr>
        <w:t>вития Российской Федерации в 2022</w:t>
      </w:r>
      <w:r w:rsidRPr="00F8714C">
        <w:rPr>
          <w:rFonts w:ascii="Times New Roman" w:hAnsi="Times New Roman" w:cs="Times New Roman"/>
        </w:rPr>
        <w:t xml:space="preserve"> г</w:t>
      </w:r>
      <w:r w:rsidR="00F8714C" w:rsidRPr="00F8714C">
        <w:rPr>
          <w:rFonts w:ascii="Times New Roman" w:hAnsi="Times New Roman" w:cs="Times New Roman"/>
        </w:rPr>
        <w:t>оду и параметрах прогноза до 2025</w:t>
      </w:r>
      <w:r w:rsidRPr="00F8714C">
        <w:rPr>
          <w:rFonts w:ascii="Times New Roman" w:hAnsi="Times New Roman" w:cs="Times New Roman"/>
        </w:rPr>
        <w:t xml:space="preserve"> </w:t>
      </w:r>
      <w:r w:rsidRPr="00F8714C">
        <w:rPr>
          <w:rFonts w:ascii="Times New Roman" w:hAnsi="Times New Roman" w:cs="Times New Roman"/>
        </w:rPr>
        <w:t>года; исходных условиях для формирования вариантов раз</w:t>
      </w:r>
      <w:r w:rsidR="00F8714C" w:rsidRPr="00F8714C">
        <w:rPr>
          <w:rFonts w:ascii="Times New Roman" w:hAnsi="Times New Roman" w:cs="Times New Roman"/>
        </w:rPr>
        <w:t>вития экономики на период до 2025</w:t>
      </w:r>
      <w:r w:rsidRPr="00F8714C">
        <w:rPr>
          <w:rFonts w:ascii="Times New Roman" w:hAnsi="Times New Roman" w:cs="Times New Roman"/>
        </w:rPr>
        <w:t xml:space="preserve"> года, рекомендованных Министерством экономического развития Российской Федерации.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 xml:space="preserve">Показатели прогноза разработаны в двух вариантах: первый вариант отражает сложившуюся </w:t>
      </w:r>
      <w:r w:rsidRPr="00F8714C">
        <w:rPr>
          <w:rFonts w:ascii="Times New Roman" w:hAnsi="Times New Roman" w:cs="Times New Roman"/>
        </w:rPr>
        <w:t xml:space="preserve">тенденцию развития экономики поселения, второй вариант ориентируется на ускорение экономического роста за счет реализации комплекса дополнительных мероприятий. Второй вариант прогноза рассматривается как основной </w:t>
      </w:r>
      <w:r w:rsidRPr="00F8714C">
        <w:rPr>
          <w:rFonts w:ascii="Times New Roman" w:hAnsi="Times New Roman" w:cs="Times New Roman"/>
        </w:rPr>
        <w:t>для</w:t>
      </w:r>
      <w:r w:rsidR="00F8714C">
        <w:rPr>
          <w:rFonts w:ascii="Times New Roman" w:hAnsi="Times New Roman" w:cs="Times New Roman"/>
        </w:rPr>
        <w:t xml:space="preserve"> составления бюджета на 2023</w:t>
      </w:r>
      <w:r w:rsidRPr="00F8714C">
        <w:rPr>
          <w:rFonts w:ascii="Times New Roman" w:hAnsi="Times New Roman" w:cs="Times New Roman"/>
        </w:rPr>
        <w:t xml:space="preserve"> год и на пл</w:t>
      </w:r>
      <w:r w:rsidR="00F8714C">
        <w:rPr>
          <w:rFonts w:ascii="Times New Roman" w:hAnsi="Times New Roman" w:cs="Times New Roman"/>
        </w:rPr>
        <w:t>ановый период 2024</w:t>
      </w:r>
      <w:r w:rsidRPr="00F8714C">
        <w:rPr>
          <w:rFonts w:ascii="Times New Roman" w:hAnsi="Times New Roman" w:cs="Times New Roman"/>
        </w:rPr>
        <w:t xml:space="preserve"> и 20</w:t>
      </w:r>
      <w:r w:rsidR="00F8714C">
        <w:rPr>
          <w:rFonts w:ascii="Times New Roman" w:hAnsi="Times New Roman" w:cs="Times New Roman"/>
        </w:rPr>
        <w:t>25</w:t>
      </w:r>
      <w:r w:rsidRPr="00F8714C">
        <w:rPr>
          <w:rFonts w:ascii="Times New Roman" w:hAnsi="Times New Roman" w:cs="Times New Roman"/>
        </w:rPr>
        <w:t xml:space="preserve"> годов.</w:t>
      </w:r>
    </w:p>
    <w:p w:rsidR="00F8714C" w:rsidRDefault="00F8714C" w:rsidP="00F8714C">
      <w:pPr>
        <w:pStyle w:val="a7"/>
        <w:ind w:left="1134" w:right="1136"/>
        <w:jc w:val="both"/>
        <w:rPr>
          <w:rFonts w:ascii="Times New Roman" w:hAnsi="Times New Roman" w:cs="Times New Roman"/>
        </w:rPr>
      </w:pP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 xml:space="preserve">Существующая экономическая ситуация в Томской области и в стране в целом диктует необходимость повышения эффективности социальной политики, концентрации усилий на решении наиболее острых социальных проблем, выработки новых механизмов, обеспечивающих более </w:t>
      </w:r>
      <w:r w:rsidRPr="00F8714C">
        <w:rPr>
          <w:rFonts w:ascii="Times New Roman" w:hAnsi="Times New Roman" w:cs="Times New Roman"/>
        </w:rPr>
        <w:t>рациональное использование финансовых и материальных ресурсов. Особенно важно это в период экономического кризиса.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При существующей ограниченности ресурсных возможностей экономики Кожевниковского поселения необходимо определиться в сокращении уровня расход</w:t>
      </w:r>
      <w:r w:rsidRPr="00F8714C">
        <w:rPr>
          <w:rFonts w:ascii="Times New Roman" w:hAnsi="Times New Roman" w:cs="Times New Roman"/>
        </w:rPr>
        <w:t>ов за счет всех источников финансирования, мобилизовать имеющиеся внутренние резервы отраслей, изыскивать необходимые нетрадиционные источники.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Для этого требуется осуществить следующие первоочередные меры: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 xml:space="preserve">провести инвентаризацию и основательно </w:t>
      </w:r>
      <w:r w:rsidRPr="00F8714C">
        <w:rPr>
          <w:rFonts w:ascii="Times New Roman" w:hAnsi="Times New Roman" w:cs="Times New Roman"/>
        </w:rPr>
        <w:t>пересмотреть внутреннюю структуру всех отраслей социально-культурной сферы и соответствующих расходов на их содержание с учетом экономического кризиса;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целесообразно сконцентрировать финансовые ресурсы, высвобождаемые в ходе оптимизации расходов;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обеспечить стабильное устойчивое финансирование учреждений социальной сферы;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сократить численность безработных.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продолжить работу бюджета поселений, а также работу муниципальных учреждений по средствам развития системы муниципального заказа и закупок на ко</w:t>
      </w:r>
      <w:r w:rsidRPr="00F8714C">
        <w:rPr>
          <w:rFonts w:ascii="Times New Roman" w:hAnsi="Times New Roman" w:cs="Times New Roman"/>
        </w:rPr>
        <w:t>нкурсной основе на основании федерального закона - 44 ФЗ.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Главная цель развития любой территории состоит в обеспечении достойного уровня жизни местного населения через обеспечение его социальными услугами на уровне, соответствующем принятым в обществе соци</w:t>
      </w:r>
      <w:r w:rsidRPr="00F8714C">
        <w:rPr>
          <w:rFonts w:ascii="Times New Roman" w:hAnsi="Times New Roman" w:cs="Times New Roman"/>
        </w:rPr>
        <w:t>альным стандартам.</w:t>
      </w:r>
    </w:p>
    <w:p w:rsidR="00145212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Обеспечение населения качественными социальными услугами возможно только на основе здоровой, динамично развивающейся экономики. Это является необходимым</w:t>
      </w:r>
      <w:r w:rsidR="00F8714C">
        <w:rPr>
          <w:rFonts w:ascii="Times New Roman" w:hAnsi="Times New Roman" w:cs="Times New Roman"/>
        </w:rPr>
        <w:t xml:space="preserve"> </w:t>
      </w:r>
      <w:r w:rsidRPr="00F8714C">
        <w:rPr>
          <w:rFonts w:ascii="Times New Roman" w:hAnsi="Times New Roman" w:cs="Times New Roman"/>
        </w:rPr>
        <w:t>условием выполнения органами местного самоуправления своих ф</w:t>
      </w:r>
      <w:r w:rsidRPr="00F8714C">
        <w:rPr>
          <w:rFonts w:ascii="Times New Roman" w:hAnsi="Times New Roman" w:cs="Times New Roman"/>
        </w:rPr>
        <w:t>ункций и обязательств перед гражданами.</w:t>
      </w:r>
    </w:p>
    <w:p w:rsidR="00F8714C" w:rsidRDefault="00F8714C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p w:rsidR="00F8714C" w:rsidRDefault="00F8714C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p w:rsidR="00F8714C" w:rsidRDefault="00F8714C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p w:rsidR="00F8714C" w:rsidRDefault="00F8714C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p w:rsidR="00F8714C" w:rsidRDefault="00F8714C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p w:rsidR="00F8714C" w:rsidRDefault="00F8714C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p w:rsidR="00F8714C" w:rsidRPr="00F8714C" w:rsidRDefault="00F8714C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 xml:space="preserve">Меры поддержки экономики стимулируют экономический рост, ведущий к подъему качества жизни. Органы местного самоуправления должны создавать условия для возникновения на своей территории предприятий - точек </w:t>
      </w:r>
      <w:r w:rsidRPr="00F8714C">
        <w:rPr>
          <w:rFonts w:ascii="Times New Roman" w:hAnsi="Times New Roman" w:cs="Times New Roman"/>
        </w:rPr>
        <w:t>экономического роста, способных эффективно функционировать и развиваться, обеспечивая, тем самым, личные доходы граждан, новые рабочие места, расширение рынков сбыта, создание новых продуктов и услуг.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Вместе с тем, для повышения качества социальных услуг н</w:t>
      </w:r>
      <w:r w:rsidRPr="00F8714C">
        <w:rPr>
          <w:rFonts w:ascii="Times New Roman" w:hAnsi="Times New Roman" w:cs="Times New Roman"/>
        </w:rPr>
        <w:t>еобходимо также улучшение деятельности предприятий муниципального сектора, необходим рост собственных доходов бюджета, оптимальное распределение бюджетных средств и их эффективное использование.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Главной стратегической целью развития Кожевниковского поселен</w:t>
      </w:r>
      <w:r w:rsidRPr="00F8714C">
        <w:rPr>
          <w:rFonts w:ascii="Times New Roman" w:hAnsi="Times New Roman" w:cs="Times New Roman"/>
        </w:rPr>
        <w:t>ия является «обеспечение стабильного повышения качества жизни населения посредством устойчивого функционирования экономики и повышения эффективности муниципального управления».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В соответствии с главной стратегической целью определяются основные стратегичес</w:t>
      </w:r>
      <w:r w:rsidRPr="00F8714C">
        <w:rPr>
          <w:rFonts w:ascii="Times New Roman" w:hAnsi="Times New Roman" w:cs="Times New Roman"/>
        </w:rPr>
        <w:t>кие направления развития Кожевниковского поселения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Повышение эффективности сельскохозяйственного производства;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Развитие промышленного сектора экономики поселения;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Развитие сферы услуг на территории поселения;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Развитие малого предпринимательства;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Развитие с</w:t>
      </w:r>
      <w:r w:rsidRPr="00F8714C">
        <w:rPr>
          <w:rFonts w:ascii="Times New Roman" w:hAnsi="Times New Roman" w:cs="Times New Roman"/>
        </w:rPr>
        <w:t>оциальной сферы;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Повышение эффективности муниципального управления поселения.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>Каждое из выбранных направлений подкреплено конкретной программой развития и сроками выполнения в соответствии, с которыми будет достигаться поставленная цель.</w:t>
      </w:r>
    </w:p>
    <w:p w:rsidR="00145212" w:rsidRPr="00F8714C" w:rsidRDefault="00E26583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r w:rsidRPr="00F8714C">
        <w:rPr>
          <w:rFonts w:ascii="Times New Roman" w:hAnsi="Times New Roman" w:cs="Times New Roman"/>
        </w:rPr>
        <w:t xml:space="preserve">Особую значимость </w:t>
      </w:r>
      <w:r w:rsidRPr="00F8714C">
        <w:rPr>
          <w:rFonts w:ascii="Times New Roman" w:hAnsi="Times New Roman" w:cs="Times New Roman"/>
        </w:rPr>
        <w:t>в развитии территории приобретает газификация поселения. Решив эту проблему, поселение значительно повысит социальную защищенность населения, за счет оказания более качественных и менее дорогостоящих коммунальных услуг. Газификация поселения должна послужи</w:t>
      </w:r>
      <w:r w:rsidRPr="00F8714C">
        <w:rPr>
          <w:rFonts w:ascii="Times New Roman" w:hAnsi="Times New Roman" w:cs="Times New Roman"/>
        </w:rPr>
        <w:t>ть толчком для подъема экономики и снижением расходной части местного бюджета.</w:t>
      </w:r>
    </w:p>
    <w:p w:rsidR="00145212" w:rsidRPr="00F8714C" w:rsidRDefault="00145212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145212" w:rsidRPr="00F8714C" w:rsidRDefault="00145212" w:rsidP="00F8714C">
      <w:pPr>
        <w:pStyle w:val="a7"/>
        <w:ind w:left="1134" w:right="1136" w:firstLine="567"/>
        <w:jc w:val="both"/>
        <w:rPr>
          <w:rFonts w:ascii="Times New Roman" w:hAnsi="Times New Roman" w:cs="Times New Roman"/>
        </w:rPr>
      </w:pPr>
    </w:p>
    <w:sectPr w:rsidR="00145212" w:rsidRPr="00F8714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83" w:rsidRDefault="00E26583">
      <w:r>
        <w:separator/>
      </w:r>
    </w:p>
  </w:endnote>
  <w:endnote w:type="continuationSeparator" w:id="0">
    <w:p w:rsidR="00E26583" w:rsidRDefault="00E2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83" w:rsidRDefault="00E26583"/>
  </w:footnote>
  <w:footnote w:type="continuationSeparator" w:id="0">
    <w:p w:rsidR="00E26583" w:rsidRDefault="00E26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60BAF"/>
    <w:multiLevelType w:val="multilevel"/>
    <w:tmpl w:val="D3A4E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12"/>
    <w:rsid w:val="00145212"/>
    <w:rsid w:val="00E26583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5FC3"/>
  <w15:docId w15:val="{345D0D91-1DF1-4379-A224-5E13E3B4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Tahoma10pt0pt">
    <w:name w:val="Основной текст + Tahoma;10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6"/>
      <w:szCs w:val="26"/>
      <w:u w:val="non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226" w:lineRule="exact"/>
      <w:jc w:val="right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22" w:lineRule="exact"/>
      <w:ind w:hanging="320"/>
      <w:jc w:val="center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styleId="a7">
    <w:name w:val="No Spacing"/>
    <w:uiPriority w:val="1"/>
    <w:qFormat/>
    <w:rsid w:val="00F87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dcterms:created xsi:type="dcterms:W3CDTF">2022-11-16T07:19:00Z</dcterms:created>
  <dcterms:modified xsi:type="dcterms:W3CDTF">2022-11-16T07:30:00Z</dcterms:modified>
</cp:coreProperties>
</file>